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C45C"/>
    <w:rsid w:val="4AF93895"/>
    <w:rsid w:val="4F7F8484"/>
    <w:rsid w:val="5BEB2B9D"/>
    <w:rsid w:val="FEFEC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2022-10-19T07:16:00Z</dcterms:created>
  <dc:creator>邓敏静</dc:creator>
  <cp:lastModifiedBy>_Tr y.</cp:lastModifiedBy>
  <dcterms:modified xsi:type="dcterms:W3CDTF">2022-10-19T01:29:10Z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3224FEDEADA441C1A70D04D6A6E34205</vt:lpwstr>
  </property>
</Properties>
</file>