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atLeas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2022年阳江市市直机关事业单位公开招聘合同制职员笔试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考生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疫情防控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atLeast"/>
        <w:ind w:left="0" w:righ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一、参加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2022年阳江市市直机关事业单位公开招聘合同制职员笔试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考生，请登录广东人事考试网（http://rsks.gd.gov.cn/）认真阅读《广东省2022年人事考试考生疫情防控须知（第二版）》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，并及时了解我市最新疫情防控政策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，严格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按照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《广东省2022年人事考试考生疫情防控须知（第二版）》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及我市疫情防控要求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atLeast"/>
        <w:ind w:left="0" w:right="0" w:firstLine="540" w:firstLineChars="20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考生须凭粤康码绿码进场考试，有考前（以每科目开考时间为准，下同）48小时内核酸检测阴性证明（电子、纸质同等效力）。</w:t>
      </w:r>
    </w:p>
    <w:p>
      <w:pPr>
        <w:ind w:left="0" w:leftChars="0" w:firstLine="640" w:firstLineChars="237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7"/>
          <w:szCs w:val="27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考前7天内，有外市旅居史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的考生抵达阳江后3天内应完成2次核酸检测（进场前须有检测结果，下同），并做好自我健康监测，凭考前48小时内核酸检测阴性证明参加考试。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atLeast"/>
        <w:ind w:left="0" w:right="0" w:firstLine="540" w:firstLineChars="20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考前7天内，有低风险区或有新增疫情的县区旅居史的考生须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7"/>
          <w:szCs w:val="27"/>
          <w:u w:val="none"/>
          <w:shd w:val="clear" w:fill="FFFFFF"/>
          <w:lang w:val="en-US" w:eastAsia="zh-CN"/>
        </w:rPr>
        <w:t>在阳江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完成核酸3天2检（间隔24小时以上）后，凭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考前48小时内核酸检测阴性证明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参加考试。阳江市实施常态化疫情防控措施地区的考生，凭考前48小时内核酸检测阴性证明参加考试。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atLeast"/>
        <w:ind w:left="0"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u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u w:val="none"/>
          <w:shd w:val="clear" w:fill="FFFFFF"/>
          <w:lang w:eastAsia="zh-CN"/>
        </w:rPr>
        <w:t>三、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u w:val="none"/>
          <w:shd w:val="clear" w:fill="FFFFFF"/>
          <w:lang w:eastAsia="zh-CN"/>
        </w:rPr>
        <w:t>疫情防控要求如有更新，将在阳江市人力资源和社会保障局政府信息公开平台（http://www.yangjiang.gov.cn/yjrsj/gkmlpt/mindex）发布，请考生密切留意。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atLeast"/>
        <w:ind w:left="0" w:righ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u w:val="none"/>
          <w:shd w:val="clear" w:fill="FFFFFF"/>
        </w:rPr>
        <w:t>　　联系电话：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u w:val="none"/>
          <w:shd w:val="clear" w:fill="FFFFFF"/>
          <w:lang w:eastAsia="zh-CN"/>
        </w:rPr>
        <w:t>事业单位人事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u w:val="none"/>
          <w:shd w:val="clear" w:fill="FFFFFF"/>
        </w:rPr>
        <w:t>管理科（0662-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u w:val="none"/>
          <w:shd w:val="clear" w:fill="FFFFFF"/>
          <w:lang w:val="en-US" w:eastAsia="zh-CN"/>
        </w:rPr>
        <w:t>3166700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u w:val="none"/>
          <w:shd w:val="clear" w:fill="FFFFFF"/>
        </w:rPr>
        <w:t>）、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阳江市人事考试中心（0662-2235616）。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atLeast"/>
        <w:ind w:left="0" w:righ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OWI1MDlmYjJhOGU2ZmE1YWZhYTUwMzNjNGFmMjEifQ=="/>
  </w:docVars>
  <w:rsids>
    <w:rsidRoot w:val="23162CAC"/>
    <w:rsid w:val="23162CAC"/>
    <w:rsid w:val="530B23EC"/>
    <w:rsid w:val="53E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2022-11-22T08:21:00Z</dcterms:created>
  <dc:creator>宇</dc:creator>
  <cp:lastModifiedBy>ding</cp:lastModifiedBy>
  <dcterms:modified xsi:type="dcterms:W3CDTF">2022-11-23T09:09:05Z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3DA87376007F4F40ADC56AD5000B4DAC</vt:lpwstr>
  </property>
</Properties>
</file>