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156" w:afterLines="50"/>
        <w:jc w:val="center"/>
        <w:rPr>
          <w:rFonts w:ascii="方正小标宋简体" w:eastAsia="方正小标宋简体"/>
          <w:sz w:val="36"/>
          <w:szCs w:val="36"/>
        </w:rPr>
      </w:pPr>
      <w:r>
        <w:rPr>
          <w:rFonts w:hint="eastAsia" w:ascii="方正小标宋简体" w:eastAsia="方正小标宋简体"/>
          <w:sz w:val="36"/>
          <w:szCs w:val="36"/>
        </w:rPr>
        <w:t>珠海市中西医结合医院简介</w:t>
      </w:r>
    </w:p>
    <w:p>
      <w:pPr>
        <w:spacing w:after="156" w:afterLines="50"/>
        <w:jc w:val="center"/>
        <w:rPr>
          <w:rFonts w:ascii="方正小标宋简体" w:eastAsia="方正小标宋简体"/>
          <w:sz w:val="36"/>
          <w:szCs w:val="36"/>
        </w:rPr>
      </w:pPr>
    </w:p>
    <w:p>
      <w:pPr>
        <w:ind w:firstLine="562" w:firstLineChars="200"/>
        <w:rPr>
          <w:color w:val="auto"/>
          <w:sz w:val="28"/>
          <w:szCs w:val="28"/>
        </w:rPr>
      </w:pPr>
      <w:r>
        <w:rPr>
          <w:rFonts w:hint="eastAsia"/>
          <w:b/>
          <w:color w:val="auto"/>
          <w:sz w:val="28"/>
          <w:szCs w:val="28"/>
        </w:rPr>
        <w:t xml:space="preserve">【医院规模】 </w:t>
      </w:r>
      <w:r>
        <w:rPr>
          <w:rFonts w:hint="eastAsia"/>
          <w:color w:val="auto"/>
          <w:sz w:val="28"/>
          <w:szCs w:val="28"/>
        </w:rPr>
        <w:t>珠海市中西医结合医院是一所毗邻澳门三级甲等公立医院。建院于</w:t>
      </w:r>
      <w:r>
        <w:rPr>
          <w:color w:val="auto"/>
          <w:sz w:val="28"/>
          <w:szCs w:val="28"/>
        </w:rPr>
        <w:t>1984年，原名“珠海经济特区拱北医院”；2006年更名为“珠海市第二人民医院”，并加挂“珠海市中西医结合医院”的牌子；2018年正式更名为“珠海市中西医结合医院”，同时也是南方医科大学附属医院、</w:t>
      </w:r>
      <w:r>
        <w:rPr>
          <w:rFonts w:hint="eastAsia"/>
          <w:color w:val="auto"/>
          <w:sz w:val="28"/>
          <w:szCs w:val="28"/>
        </w:rPr>
        <w:t>澳门科技大学中医药学院附属珠海医院、遵义医学院附属医院、</w:t>
      </w:r>
      <w:r>
        <w:rPr>
          <w:color w:val="auto"/>
          <w:sz w:val="28"/>
          <w:szCs w:val="28"/>
        </w:rPr>
        <w:t>澳门科技大学临床教研中心、湖南中医药大学、云南中医药大学的教学医院。近年来，医院深入学习贯彻习近平总书记关于健康事业和中医药发展的重要论述精神，牢牢把握历史机遇，坚持中西医并重，传承创新，医院发展驶上快车道。医院秉承“厚德·尚道·精诚·济世”的院训和“传承创</w:t>
      </w:r>
      <w:r>
        <w:rPr>
          <w:rFonts w:hint="eastAsia"/>
          <w:color w:val="auto"/>
          <w:sz w:val="28"/>
          <w:szCs w:val="28"/>
        </w:rPr>
        <w:t>新 中西结合</w:t>
      </w:r>
      <w:r>
        <w:rPr>
          <w:color w:val="auto"/>
          <w:sz w:val="28"/>
          <w:szCs w:val="28"/>
        </w:rPr>
        <w:t xml:space="preserve"> 全心全意为人民健康服务”的办院宗旨，已发展成为一所集医疗、预防、保健、康复、科研、教学为一体，以中西医结合为特色的三级甲等中西医结合医院。医院现有占地面积4.2万平米，建筑面积6.8万平米，开放床位960张。医院现进行改扩建工程，新建综合住院楼23层，建筑面积7.3万平方米，预计2024年投入运营。届时，医院建筑面积达13.2万平方米，床位1200张。</w:t>
      </w:r>
    </w:p>
    <w:p>
      <w:pPr>
        <w:rPr>
          <w:color w:val="auto"/>
          <w:sz w:val="28"/>
          <w:szCs w:val="28"/>
        </w:rPr>
      </w:pPr>
      <w:r>
        <w:drawing>
          <wp:inline distT="0" distB="0" distL="114300" distR="114300">
            <wp:extent cx="5904865" cy="2552065"/>
            <wp:effectExtent l="0" t="0" r="635" b="635"/>
            <wp:docPr id="6" name="内容占位符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内容占位符 5"/>
                    <pic:cNvPicPr>
                      <a:picLocks noChangeAspect="1"/>
                    </pic:cNvPicPr>
                  </pic:nvPicPr>
                  <pic:blipFill>
                    <a:blip r:embed="rId4">
                      <a:lum bright="6000"/>
                    </a:blip>
                    <a:srcRect l="109" t="5231" r="234" b="4244"/>
                    <a:stretch>
                      <a:fillRect/>
                    </a:stretch>
                  </pic:blipFill>
                  <pic:spPr>
                    <a:xfrm>
                      <a:off x="0" y="0"/>
                      <a:ext cx="5904865" cy="2552065"/>
                    </a:xfrm>
                    <a:prstGeom prst="rect">
                      <a:avLst/>
                    </a:prstGeom>
                  </pic:spPr>
                </pic:pic>
              </a:graphicData>
            </a:graphic>
          </wp:inline>
        </w:drawing>
      </w:r>
    </w:p>
    <w:p>
      <w:pPr>
        <w:ind w:firstLine="562" w:firstLineChars="200"/>
        <w:rPr>
          <w:rFonts w:hint="eastAsia"/>
          <w:b/>
          <w:color w:val="auto"/>
          <w:sz w:val="28"/>
          <w:szCs w:val="28"/>
        </w:rPr>
      </w:pPr>
    </w:p>
    <w:p>
      <w:pPr>
        <w:pStyle w:val="10"/>
        <w:adjustRightInd w:val="0"/>
        <w:snapToGrid w:val="0"/>
        <w:spacing w:line="560" w:lineRule="exact"/>
        <w:ind w:firstLine="562" w:firstLineChars="200"/>
        <w:rPr>
          <w:rFonts w:ascii="宋体" w:hAnsi="宋体"/>
          <w:kern w:val="10"/>
          <w:sz w:val="28"/>
          <w:szCs w:val="28"/>
        </w:rPr>
      </w:pPr>
      <w:r>
        <w:rPr>
          <w:rFonts w:hint="eastAsia"/>
          <w:b/>
          <w:sz w:val="28"/>
          <w:szCs w:val="28"/>
        </w:rPr>
        <w:t>【发展目标】</w:t>
      </w:r>
      <w:r>
        <w:rPr>
          <w:rFonts w:hint="eastAsia" w:ascii="宋体" w:hAnsi="宋体"/>
          <w:kern w:val="10"/>
          <w:sz w:val="28"/>
          <w:szCs w:val="28"/>
        </w:rPr>
        <w:t>建设高水平中西医结合医院。</w:t>
      </w:r>
    </w:p>
    <w:p>
      <w:pPr>
        <w:spacing w:line="360" w:lineRule="auto"/>
        <w:ind w:firstLine="562" w:firstLineChars="200"/>
        <w:rPr>
          <w:color w:val="auto"/>
          <w:sz w:val="28"/>
          <w:szCs w:val="28"/>
        </w:rPr>
      </w:pPr>
      <w:r>
        <w:rPr>
          <w:rFonts w:hint="eastAsia"/>
          <w:b/>
          <w:color w:val="auto"/>
          <w:sz w:val="28"/>
          <w:szCs w:val="28"/>
        </w:rPr>
        <w:t>【发展战略模式】</w:t>
      </w:r>
      <w:r>
        <w:rPr>
          <w:rFonts w:hint="eastAsia"/>
          <w:color w:val="auto"/>
          <w:sz w:val="28"/>
          <w:szCs w:val="28"/>
        </w:rPr>
        <w:t>坚持中西医结合特色，走差异化发展道路，以1+N为发展模式，创建一个中西医融合的现代化医疗技术中心，N个医疗联合体。</w:t>
      </w:r>
    </w:p>
    <w:p>
      <w:pPr>
        <w:spacing w:line="360" w:lineRule="auto"/>
        <w:ind w:firstLine="560" w:firstLineChars="200"/>
        <w:rPr>
          <w:rFonts w:hint="eastAsia"/>
          <w:color w:val="auto"/>
          <w:sz w:val="28"/>
          <w:szCs w:val="28"/>
        </w:rPr>
      </w:pPr>
      <w:r>
        <w:rPr>
          <w:rFonts w:hint="eastAsia"/>
          <w:color w:val="auto"/>
          <w:sz w:val="28"/>
          <w:szCs w:val="28"/>
        </w:rPr>
        <w:t>以独具特色的医疗联合体1+N为发展模式，依托大学充分发挥非直属附属医院的作用，创建一个高水平中西医融合的现代化医疗技术中心。同时，充分发挥中西医融合的特色优势，与各区政府、各类医疗机构合作，建立N个医联体、中药、康养等产业合作体，创立独具特色的医疗集团1+N发展模式，形成中医内涵丰富，外延基层紧密，成为服务粤港澳大湾区的国内知名独具特色的中西医结合医院。</w:t>
      </w:r>
    </w:p>
    <w:p>
      <w:pPr>
        <w:ind w:firstLine="562" w:firstLineChars="200"/>
        <w:rPr>
          <w:color w:val="auto"/>
          <w:sz w:val="28"/>
          <w:szCs w:val="28"/>
        </w:rPr>
      </w:pPr>
      <w:r>
        <w:rPr>
          <w:rFonts w:hint="eastAsia"/>
          <w:b/>
          <w:color w:val="auto"/>
          <w:sz w:val="28"/>
          <w:szCs w:val="28"/>
        </w:rPr>
        <w:t xml:space="preserve">【主要荣誉】 </w:t>
      </w:r>
      <w:r>
        <w:rPr>
          <w:rFonts w:hint="eastAsia"/>
          <w:color w:val="auto"/>
          <w:sz w:val="28"/>
          <w:szCs w:val="28"/>
        </w:rPr>
        <w:t>医院获得“全国医药卫生系统先进集体”、国家“爱婴医院”、“全国节约型公共机构示范单位”、全省公立医院党建工作示范点、广东省“百家文明医院”、“广东省厂务公开民主管理工作示范单位”、“广东省无烟单位”、“广东省科普教育基地”、“珠海市先进集体”、“珠海市文明单位”等荣誉称号。</w:t>
      </w:r>
    </w:p>
    <w:p>
      <w:pPr>
        <w:widowControl/>
        <w:shd w:val="clear" w:color="auto" w:fill="FFFFFF"/>
        <w:ind w:firstLine="562" w:firstLineChars="200"/>
        <w:rPr>
          <w:color w:val="auto"/>
          <w:sz w:val="28"/>
          <w:szCs w:val="28"/>
          <w:highlight w:val="none"/>
        </w:rPr>
      </w:pPr>
      <w:r>
        <w:rPr>
          <w:rFonts w:hint="eastAsia"/>
          <w:b/>
          <w:color w:val="auto"/>
          <w:sz w:val="28"/>
          <w:szCs w:val="28"/>
          <w:highlight w:val="none"/>
        </w:rPr>
        <w:t>【专家队伍】</w:t>
      </w:r>
      <w:r>
        <w:rPr>
          <w:rFonts w:hint="eastAsia"/>
          <w:color w:val="auto"/>
          <w:sz w:val="28"/>
          <w:szCs w:val="28"/>
          <w:highlight w:val="none"/>
        </w:rPr>
        <w:t>专业技术人员13</w:t>
      </w:r>
      <w:r>
        <w:rPr>
          <w:rFonts w:hint="eastAsia"/>
          <w:color w:val="auto"/>
          <w:sz w:val="28"/>
          <w:szCs w:val="28"/>
          <w:highlight w:val="none"/>
          <w:lang w:val="en-US" w:eastAsia="zh-CN"/>
        </w:rPr>
        <w:t>73</w:t>
      </w:r>
      <w:r>
        <w:rPr>
          <w:rFonts w:hint="eastAsia"/>
          <w:color w:val="auto"/>
          <w:sz w:val="28"/>
          <w:szCs w:val="28"/>
          <w:highlight w:val="none"/>
        </w:rPr>
        <w:t>人，博士后3人，博士</w:t>
      </w:r>
      <w:r>
        <w:rPr>
          <w:rFonts w:hint="eastAsia"/>
          <w:color w:val="auto"/>
          <w:sz w:val="28"/>
          <w:szCs w:val="28"/>
          <w:highlight w:val="none"/>
          <w:lang w:val="en-US" w:eastAsia="zh-CN"/>
        </w:rPr>
        <w:t>19</w:t>
      </w:r>
      <w:r>
        <w:rPr>
          <w:rFonts w:hint="eastAsia"/>
          <w:color w:val="auto"/>
          <w:sz w:val="28"/>
          <w:szCs w:val="28"/>
          <w:highlight w:val="none"/>
        </w:rPr>
        <w:t>人，硕士</w:t>
      </w:r>
      <w:r>
        <w:rPr>
          <w:rFonts w:hint="eastAsia"/>
          <w:color w:val="auto"/>
          <w:sz w:val="28"/>
          <w:szCs w:val="28"/>
          <w:highlight w:val="none"/>
          <w:lang w:val="en-US" w:eastAsia="zh-CN"/>
        </w:rPr>
        <w:t>291</w:t>
      </w:r>
      <w:r>
        <w:rPr>
          <w:rFonts w:hint="eastAsia"/>
          <w:color w:val="auto"/>
          <w:sz w:val="28"/>
          <w:szCs w:val="28"/>
          <w:highlight w:val="none"/>
        </w:rPr>
        <w:t>人，高级</w:t>
      </w:r>
      <w:r>
        <w:rPr>
          <w:rFonts w:hint="eastAsia"/>
          <w:color w:val="auto"/>
          <w:sz w:val="28"/>
          <w:szCs w:val="28"/>
          <w:highlight w:val="none"/>
          <w:lang w:val="en-US" w:eastAsia="zh-CN"/>
        </w:rPr>
        <w:t>职称</w:t>
      </w:r>
      <w:bookmarkStart w:id="0" w:name="_GoBack"/>
      <w:bookmarkEnd w:id="0"/>
      <w:r>
        <w:rPr>
          <w:rFonts w:hint="eastAsia"/>
          <w:color w:val="auto"/>
          <w:sz w:val="28"/>
          <w:szCs w:val="28"/>
          <w:highlight w:val="none"/>
          <w:lang w:val="en-US" w:eastAsia="zh-CN"/>
        </w:rPr>
        <w:t>269</w:t>
      </w:r>
      <w:r>
        <w:rPr>
          <w:rFonts w:hint="eastAsia"/>
          <w:color w:val="auto"/>
          <w:sz w:val="28"/>
          <w:szCs w:val="28"/>
          <w:highlight w:val="none"/>
        </w:rPr>
        <w:t>人。</w:t>
      </w:r>
    </w:p>
    <w:p>
      <w:pPr>
        <w:widowControl/>
        <w:shd w:val="clear" w:color="auto" w:fill="FFFFFF"/>
        <w:ind w:firstLine="562" w:firstLineChars="200"/>
        <w:rPr>
          <w:color w:val="auto"/>
          <w:sz w:val="28"/>
          <w:szCs w:val="28"/>
          <w:highlight w:val="yellow"/>
        </w:rPr>
      </w:pPr>
      <w:r>
        <w:rPr>
          <w:rFonts w:hint="eastAsia"/>
          <w:b/>
          <w:color w:val="auto"/>
          <w:sz w:val="28"/>
          <w:szCs w:val="28"/>
        </w:rPr>
        <w:t>【学科建设】</w:t>
      </w:r>
      <w:r>
        <w:rPr>
          <w:rFonts w:hint="eastAsia"/>
          <w:color w:val="auto"/>
          <w:sz w:val="28"/>
          <w:szCs w:val="28"/>
        </w:rPr>
        <w:t>设有临床科室37个，医技科室11个。</w:t>
      </w:r>
    </w:p>
    <w:p>
      <w:pPr>
        <w:ind w:firstLine="560" w:firstLineChars="200"/>
        <w:rPr>
          <w:color w:val="auto"/>
          <w:sz w:val="28"/>
          <w:szCs w:val="28"/>
        </w:rPr>
      </w:pPr>
      <w:r>
        <w:rPr>
          <w:rFonts w:hint="eastAsia"/>
          <w:color w:val="auto"/>
          <w:sz w:val="28"/>
          <w:szCs w:val="28"/>
        </w:rPr>
        <w:t>省市重点专科共有12个：</w:t>
      </w:r>
    </w:p>
    <w:p>
      <w:pPr>
        <w:ind w:firstLine="560" w:firstLineChars="200"/>
        <w:rPr>
          <w:color w:val="auto"/>
          <w:sz w:val="28"/>
          <w:szCs w:val="28"/>
        </w:rPr>
      </w:pPr>
      <w:r>
        <w:rPr>
          <w:rFonts w:hint="eastAsia"/>
          <w:color w:val="auto"/>
          <w:sz w:val="28"/>
          <w:szCs w:val="28"/>
        </w:rPr>
        <w:t>广东省临床重点专科：胸外科、皮肤科；</w:t>
      </w:r>
    </w:p>
    <w:p>
      <w:pPr>
        <w:ind w:firstLine="560" w:firstLineChars="200"/>
        <w:rPr>
          <w:color w:val="auto"/>
          <w:sz w:val="28"/>
          <w:szCs w:val="28"/>
        </w:rPr>
      </w:pPr>
      <w:r>
        <w:rPr>
          <w:rFonts w:hint="eastAsia"/>
          <w:color w:val="auto"/>
          <w:sz w:val="28"/>
          <w:szCs w:val="28"/>
        </w:rPr>
        <w:t>广东省中医重点专科建设单位：妇科、糖尿病科、康复医学科、儿科；</w:t>
      </w:r>
    </w:p>
    <w:p>
      <w:pPr>
        <w:ind w:firstLine="560" w:firstLineChars="200"/>
        <w:rPr>
          <w:color w:val="auto"/>
          <w:sz w:val="28"/>
          <w:szCs w:val="28"/>
        </w:rPr>
      </w:pPr>
      <w:r>
        <w:rPr>
          <w:rFonts w:hint="eastAsia"/>
          <w:color w:val="auto"/>
          <w:sz w:val="28"/>
          <w:szCs w:val="28"/>
        </w:rPr>
        <w:t>珠海市中医临床重点专科建设单位：妇科、康复医学科、糖尿病科；</w:t>
      </w:r>
    </w:p>
    <w:p>
      <w:pPr>
        <w:ind w:firstLine="560" w:firstLineChars="200"/>
        <w:rPr>
          <w:color w:val="auto"/>
          <w:sz w:val="28"/>
          <w:szCs w:val="28"/>
        </w:rPr>
      </w:pPr>
      <w:r>
        <w:rPr>
          <w:rFonts w:hint="eastAsia"/>
          <w:color w:val="auto"/>
          <w:sz w:val="28"/>
          <w:szCs w:val="28"/>
        </w:rPr>
        <w:t>珠海市临床重点专科：消化科、乳腺外科、康复医学科；</w:t>
      </w:r>
    </w:p>
    <w:p>
      <w:pPr>
        <w:ind w:firstLine="560" w:firstLineChars="200"/>
        <w:rPr>
          <w:color w:val="auto"/>
          <w:sz w:val="28"/>
          <w:szCs w:val="28"/>
        </w:rPr>
      </w:pPr>
      <w:r>
        <w:rPr>
          <w:rFonts w:hint="eastAsia"/>
          <w:color w:val="auto"/>
          <w:sz w:val="28"/>
          <w:szCs w:val="28"/>
        </w:rPr>
        <w:t>医院已成功打造</w:t>
      </w:r>
      <w:r>
        <w:rPr>
          <w:color w:val="auto"/>
          <w:sz w:val="28"/>
          <w:szCs w:val="28"/>
        </w:rPr>
        <w:t>“听力障碍与眩晕诊疗中心”、“胸痛中心”、“卒中中心”、“创伤中心”、“妇产中心”</w:t>
      </w:r>
      <w:r>
        <w:rPr>
          <w:rFonts w:hint="eastAsia"/>
          <w:color w:val="auto"/>
          <w:sz w:val="28"/>
          <w:szCs w:val="28"/>
        </w:rPr>
        <w:t>。</w:t>
      </w:r>
    </w:p>
    <w:p>
      <w:pPr>
        <w:ind w:firstLine="560" w:firstLineChars="200"/>
        <w:rPr>
          <w:color w:val="auto"/>
          <w:sz w:val="28"/>
          <w:szCs w:val="28"/>
          <w:highlight w:val="yellow"/>
        </w:rPr>
      </w:pPr>
      <w:r>
        <w:rPr>
          <w:rFonts w:hint="eastAsia"/>
          <w:color w:val="auto"/>
          <w:sz w:val="28"/>
          <w:szCs w:val="28"/>
        </w:rPr>
        <w:t>医院设立：院士工作室</w:t>
      </w:r>
      <w:r>
        <w:rPr>
          <w:color w:val="auto"/>
          <w:sz w:val="28"/>
          <w:szCs w:val="28"/>
        </w:rPr>
        <w:t>1个；</w:t>
      </w:r>
      <w:r>
        <w:rPr>
          <w:rFonts w:hint="eastAsia"/>
          <w:color w:val="auto"/>
          <w:sz w:val="28"/>
          <w:szCs w:val="28"/>
        </w:rPr>
        <w:t>国医大师工作室</w:t>
      </w:r>
      <w:r>
        <w:rPr>
          <w:rFonts w:hint="eastAsia"/>
          <w:color w:val="auto"/>
          <w:sz w:val="28"/>
          <w:szCs w:val="28"/>
          <w:lang w:val="en-US" w:eastAsia="zh-CN"/>
        </w:rPr>
        <w:t>2</w:t>
      </w:r>
      <w:r>
        <w:rPr>
          <w:color w:val="auto"/>
          <w:sz w:val="28"/>
          <w:szCs w:val="28"/>
        </w:rPr>
        <w:t>个</w:t>
      </w:r>
      <w:r>
        <w:rPr>
          <w:rFonts w:hint="eastAsia"/>
          <w:color w:val="auto"/>
          <w:sz w:val="28"/>
          <w:szCs w:val="28"/>
        </w:rPr>
        <w:t>。</w:t>
      </w:r>
    </w:p>
    <w:p>
      <w:pPr>
        <w:ind w:firstLine="562" w:firstLineChars="200"/>
        <w:rPr>
          <w:rFonts w:hint="eastAsia"/>
          <w:color w:val="auto"/>
          <w:sz w:val="28"/>
          <w:szCs w:val="28"/>
        </w:rPr>
      </w:pPr>
      <w:r>
        <w:rPr>
          <w:rFonts w:hint="eastAsia"/>
          <w:b/>
          <w:color w:val="auto"/>
          <w:sz w:val="28"/>
          <w:szCs w:val="28"/>
        </w:rPr>
        <w:t>【医院设备】</w:t>
      </w:r>
      <w:r>
        <w:rPr>
          <w:rFonts w:hint="eastAsia"/>
          <w:color w:val="auto"/>
          <w:sz w:val="28"/>
          <w:szCs w:val="28"/>
        </w:rPr>
        <w:t>配备西门子</w:t>
      </w:r>
      <w:r>
        <w:rPr>
          <w:color w:val="auto"/>
          <w:sz w:val="28"/>
          <w:szCs w:val="28"/>
        </w:rPr>
        <w:t>3.0T、GE 1.5T核磁共振设备，西门子双源CT、西门子、东芝128层螺旋CT设备，飞利浦全数字化平板X线血管造影机（DSA）、飞利浦单光子发射计算机断层扫描系统（SPECT）、全市首台SRM-IV的良性阵发性位置性眩晕诊疗系统（复位椅）、GE的Voluson E10四维彩超、飞利浦EPIQ 7C高档彩超、GE胎儿三维彩超、3D胸腔镜、3D内窥镜摄像系统和关节镜等大型设备。</w:t>
      </w:r>
    </w:p>
    <w:p>
      <w:pPr>
        <w:ind w:firstLine="562" w:firstLineChars="200"/>
        <w:rPr>
          <w:color w:val="auto"/>
          <w:sz w:val="28"/>
          <w:szCs w:val="28"/>
        </w:rPr>
      </w:pPr>
      <w:r>
        <w:rPr>
          <w:rFonts w:hint="eastAsia"/>
          <w:b/>
          <w:color w:val="auto"/>
          <w:sz w:val="28"/>
          <w:szCs w:val="28"/>
        </w:rPr>
        <w:t>【人才引进】</w:t>
      </w:r>
      <w:r>
        <w:rPr>
          <w:rFonts w:hint="eastAsia"/>
          <w:color w:val="auto"/>
          <w:sz w:val="28"/>
          <w:szCs w:val="28"/>
        </w:rPr>
        <w:t>根据《珠海市中西医结合医院人才引进待遇实施办法》，符合条件的学科带头人享受50-200万元购房补助及50-100万元科研经费配套资助。符合条件的业务骨干享受15-30万元购房补助及15万元科研经费配套资助。</w:t>
      </w:r>
    </w:p>
    <w:p>
      <w:pPr>
        <w:widowControl/>
        <w:ind w:firstLine="562" w:firstLineChars="200"/>
        <w:jc w:val="left"/>
        <w:rPr>
          <w:rFonts w:hint="eastAsia"/>
          <w:color w:val="auto"/>
          <w:sz w:val="28"/>
          <w:szCs w:val="28"/>
        </w:rPr>
      </w:pPr>
      <w:r>
        <w:rPr>
          <w:rFonts w:hint="eastAsia"/>
          <w:b/>
          <w:color w:val="auto"/>
          <w:sz w:val="28"/>
          <w:szCs w:val="28"/>
        </w:rPr>
        <w:t>【人才培养】</w:t>
      </w:r>
      <w:r>
        <w:rPr>
          <w:rFonts w:hint="eastAsia"/>
          <w:color w:val="auto"/>
          <w:sz w:val="28"/>
          <w:szCs w:val="28"/>
        </w:rPr>
        <w:t>为建设高水平医院储备人才，我院出台《珠海市中西医结合医院在职攻读学历学位管理规定》，鼓励医务人员在职提升学历，优化人才队伍学历结构</w:t>
      </w:r>
      <w:r>
        <w:rPr>
          <w:rFonts w:hint="eastAsia"/>
          <w:color w:val="auto"/>
          <w:sz w:val="28"/>
          <w:szCs w:val="28"/>
          <w:lang w:eastAsia="zh-CN"/>
        </w:rPr>
        <w:t>。</w:t>
      </w:r>
      <w:r>
        <w:rPr>
          <w:rFonts w:hint="eastAsia"/>
          <w:color w:val="auto"/>
          <w:sz w:val="28"/>
          <w:szCs w:val="28"/>
        </w:rPr>
        <w:t>获得在职博士学历/学位的人员医院给予8万元博士人才奖励</w:t>
      </w:r>
      <w:r>
        <w:rPr>
          <w:rFonts w:hint="eastAsia"/>
          <w:color w:val="auto"/>
          <w:sz w:val="28"/>
          <w:szCs w:val="28"/>
          <w:lang w:eastAsia="zh-CN"/>
        </w:rPr>
        <w:t>，</w:t>
      </w:r>
      <w:r>
        <w:rPr>
          <w:rFonts w:hint="eastAsia"/>
          <w:color w:val="auto"/>
          <w:sz w:val="28"/>
          <w:szCs w:val="28"/>
          <w:lang w:val="en-US" w:eastAsia="zh-CN"/>
        </w:rPr>
        <w:t>在职攻读硕士及博士学位可报销3-6万学费，原则上给予6—12 个月的理论学习（含科研）带薪假期。我院是澳门科技大学、南方医科大学附属医院，攻读该两所大学的在职博士研究生学费可全额报销</w:t>
      </w:r>
      <w:r>
        <w:rPr>
          <w:rFonts w:hint="eastAsia"/>
          <w:color w:val="auto"/>
          <w:sz w:val="28"/>
          <w:szCs w:val="28"/>
        </w:rPr>
        <w:t>。医院规划每年选派50-80名学科有发展潜力的青年骨干到国内知名三甲医院进修，选派2-5名专科、亚专科带头人、拔尖人才、青年英才到发达国家医学中心深造，以储备学科骨干人才、夯实学科发展基础。</w:t>
      </w:r>
    </w:p>
    <w:p>
      <w:pPr>
        <w:ind w:firstLine="562" w:firstLineChars="200"/>
        <w:rPr>
          <w:color w:val="auto"/>
          <w:sz w:val="28"/>
          <w:szCs w:val="28"/>
        </w:rPr>
      </w:pPr>
      <w:r>
        <w:rPr>
          <w:rFonts w:hint="eastAsia"/>
          <w:b/>
          <w:color w:val="auto"/>
          <w:sz w:val="28"/>
          <w:szCs w:val="28"/>
        </w:rPr>
        <w:t xml:space="preserve">【医院特色】 </w:t>
      </w:r>
      <w:r>
        <w:rPr>
          <w:color w:val="auto"/>
          <w:sz w:val="28"/>
          <w:szCs w:val="28"/>
        </w:rPr>
        <w:t>医院始终坚持现代医学与传统中医药学相结合的办院理念，中西医并重、多学科兼顾，形成了“院有专科、科有专病、病有专治、治有专家”的极具中西医结合特色的医疗模式。</w:t>
      </w:r>
      <w:r>
        <w:rPr>
          <w:rFonts w:hint="eastAsia"/>
          <w:color w:val="auto"/>
          <w:sz w:val="28"/>
          <w:szCs w:val="28"/>
        </w:rPr>
        <w:t>医院聘请多名院士、国医大师和著名中医药专家作为顾问，指导学科建设，受到珠、港、澳及周边地区患者的信赖和赞誉。</w:t>
      </w:r>
    </w:p>
    <w:p>
      <w:pPr>
        <w:ind w:firstLine="560" w:firstLineChars="200"/>
        <w:rPr>
          <w:color w:val="auto"/>
          <w:sz w:val="28"/>
          <w:szCs w:val="28"/>
        </w:rPr>
      </w:pPr>
      <w:r>
        <w:rPr>
          <w:color w:val="auto"/>
          <w:sz w:val="28"/>
          <w:szCs w:val="28"/>
        </w:rPr>
        <w:t>医院一直是珠澳医疗合作的先行者，相继与澳门科技大学合作成立临床教研中心，与粤澳中医药科技产业园合作成立“粤澳医疗机构中药制剂中心”，积极推进健康湾区建设。在患者群中，约20%为澳门及境外人士。同时，积极吸纳具有港澳及海外学习、工作经验的医护人员。目前，海归专家团队日益扩大，护士中大约7%的人具备港澳护理学习、工作经验。</w:t>
      </w:r>
    </w:p>
    <w:p>
      <w:pPr>
        <w:ind w:firstLine="562" w:firstLineChars="200"/>
        <w:rPr>
          <w:rFonts w:hint="eastAsia"/>
          <w:color w:val="auto"/>
          <w:sz w:val="28"/>
          <w:szCs w:val="28"/>
        </w:rPr>
      </w:pPr>
      <w:r>
        <w:rPr>
          <w:rFonts w:hint="eastAsia"/>
          <w:b/>
          <w:color w:val="auto"/>
          <w:sz w:val="28"/>
          <w:szCs w:val="28"/>
        </w:rPr>
        <w:t>【业务指标】</w:t>
      </w:r>
      <w:r>
        <w:rPr>
          <w:rFonts w:hint="eastAsia"/>
          <w:color w:val="auto"/>
          <w:sz w:val="28"/>
          <w:szCs w:val="28"/>
        </w:rPr>
        <w:t>医院近年业务量稳步增长，</w:t>
      </w:r>
      <w:r>
        <w:rPr>
          <w:color w:val="auto"/>
          <w:sz w:val="28"/>
          <w:szCs w:val="28"/>
        </w:rPr>
        <w:t>2021年医院总诊疗服务人次达187.2万，同比增长83.1%。出院人数达3.2万人次，同比增长16.6%，住院手术达2.0万人次，同比增长23.0%。</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altName w:val="Segoe UI"/>
    <w:panose1 w:val="020F0502020204030204"/>
    <w:charset w:val="00"/>
    <w:family w:val="swiss"/>
    <w:pitch w:val="default"/>
    <w:sig w:usb0="00000000" w:usb1="00000000" w:usb2="00000001" w:usb3="00000000" w:csb0="0000019F" w:csb1="00000000"/>
  </w:font>
  <w:font w:name="Segoe UI">
    <w:panose1 w:val="020B0502040204020203"/>
    <w:charset w:val="00"/>
    <w:family w:val="auto"/>
    <w:pitch w:val="default"/>
    <w:sig w:usb0="E4002EFF" w:usb1="C000E47F" w:usb2="00000009" w:usb3="00000000" w:csb0="200001FF" w:csb1="00000000"/>
  </w:font>
  <w:font w:name="等线">
    <w:altName w:val="微软雅黑"/>
    <w:panose1 w:val="02010600030101010101"/>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ACF3C50" w:usb2="00000016" w:usb3="00000000" w:csb0="0004001F" w:csb1="00000000"/>
  </w:font>
  <w:font w:name="方正小标宋简体">
    <w:altName w:val="黑体"/>
    <w:panose1 w:val="03000509000000000000"/>
    <w:charset w:val="86"/>
    <w:family w:val="script"/>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RhMGVjZTI1M2ExMzhhZTk0NGYzMGI5YWMyNDExNDIifQ=="/>
  </w:docVars>
  <w:rsids>
    <w:rsidRoot w:val="00340913"/>
    <w:rsid w:val="00115EA5"/>
    <w:rsid w:val="0014773A"/>
    <w:rsid w:val="001D6A62"/>
    <w:rsid w:val="00222445"/>
    <w:rsid w:val="00286DCD"/>
    <w:rsid w:val="00291C74"/>
    <w:rsid w:val="002D44B6"/>
    <w:rsid w:val="00340913"/>
    <w:rsid w:val="0035222D"/>
    <w:rsid w:val="00364B1D"/>
    <w:rsid w:val="003D0DA7"/>
    <w:rsid w:val="00400250"/>
    <w:rsid w:val="00420F24"/>
    <w:rsid w:val="00420FF5"/>
    <w:rsid w:val="004C1182"/>
    <w:rsid w:val="00502BD9"/>
    <w:rsid w:val="0065362B"/>
    <w:rsid w:val="0067722F"/>
    <w:rsid w:val="007749ED"/>
    <w:rsid w:val="007C51CE"/>
    <w:rsid w:val="0083731C"/>
    <w:rsid w:val="0087513A"/>
    <w:rsid w:val="008C52A2"/>
    <w:rsid w:val="00A3428B"/>
    <w:rsid w:val="00A74A09"/>
    <w:rsid w:val="00B15543"/>
    <w:rsid w:val="00B56735"/>
    <w:rsid w:val="00B642B1"/>
    <w:rsid w:val="00B94CB8"/>
    <w:rsid w:val="00BB0616"/>
    <w:rsid w:val="00C03ED8"/>
    <w:rsid w:val="00C6753B"/>
    <w:rsid w:val="00CD2EB2"/>
    <w:rsid w:val="00D034E6"/>
    <w:rsid w:val="00D45341"/>
    <w:rsid w:val="00D77D51"/>
    <w:rsid w:val="00D908C3"/>
    <w:rsid w:val="00E35922"/>
    <w:rsid w:val="00E51E4A"/>
    <w:rsid w:val="00FF0A81"/>
    <w:rsid w:val="01452C5A"/>
    <w:rsid w:val="03CE1301"/>
    <w:rsid w:val="044605DF"/>
    <w:rsid w:val="12FD414F"/>
    <w:rsid w:val="154F5483"/>
    <w:rsid w:val="16281CD8"/>
    <w:rsid w:val="1C944699"/>
    <w:rsid w:val="1E54795D"/>
    <w:rsid w:val="2702368A"/>
    <w:rsid w:val="2BA32FE3"/>
    <w:rsid w:val="2BFE0C04"/>
    <w:rsid w:val="32F83B93"/>
    <w:rsid w:val="38CD277E"/>
    <w:rsid w:val="39581830"/>
    <w:rsid w:val="3DAE5EC2"/>
    <w:rsid w:val="4052368F"/>
    <w:rsid w:val="40727321"/>
    <w:rsid w:val="42812A4C"/>
    <w:rsid w:val="44DE52DF"/>
    <w:rsid w:val="4A987CDE"/>
    <w:rsid w:val="4F6B4311"/>
    <w:rsid w:val="4FE570BC"/>
    <w:rsid w:val="520619D1"/>
    <w:rsid w:val="526A6404"/>
    <w:rsid w:val="5ABC6F56"/>
    <w:rsid w:val="614E34A2"/>
    <w:rsid w:val="63907D73"/>
    <w:rsid w:val="66F366C0"/>
    <w:rsid w:val="67173AF0"/>
    <w:rsid w:val="67447222"/>
    <w:rsid w:val="67F757BF"/>
    <w:rsid w:val="6B8F0831"/>
    <w:rsid w:val="6C0E5BFA"/>
    <w:rsid w:val="70C920D0"/>
    <w:rsid w:val="72BD4C72"/>
    <w:rsid w:val="75ED4AD2"/>
    <w:rsid w:val="7616367D"/>
    <w:rsid w:val="765324C4"/>
    <w:rsid w:val="7B3506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宋体" w:hAnsi="宋体" w:eastAsia="宋体" w:cs="Times New Roman"/>
      <w:color w:val="000000"/>
      <w:kern w:val="10"/>
      <w:sz w:val="32"/>
      <w:szCs w:val="32"/>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9"/>
    <w:semiHidden/>
    <w:unhideWhenUsed/>
    <w:qFormat/>
    <w:uiPriority w:val="99"/>
    <w:rPr>
      <w:sz w:val="18"/>
      <w:szCs w:val="18"/>
    </w:rPr>
  </w:style>
  <w:style w:type="paragraph" w:styleId="3">
    <w:name w:val="footer"/>
    <w:basedOn w:val="1"/>
    <w:link w:val="8"/>
    <w:unhideWhenUsed/>
    <w:qFormat/>
    <w:uiPriority w:val="99"/>
    <w:pPr>
      <w:tabs>
        <w:tab w:val="center" w:pos="4153"/>
        <w:tab w:val="right" w:pos="8306"/>
      </w:tabs>
      <w:snapToGrid w:val="0"/>
      <w:jc w:val="left"/>
    </w:pPr>
    <w:rPr>
      <w:rFonts w:asciiTheme="minorHAnsi" w:hAnsiTheme="minorHAnsi" w:eastAsiaTheme="minorEastAsia" w:cstheme="minorBidi"/>
      <w:color w:val="auto"/>
      <w:kern w:val="2"/>
      <w:sz w:val="18"/>
      <w:szCs w:val="18"/>
    </w:rPr>
  </w:style>
  <w:style w:type="paragraph" w:styleId="4">
    <w:name w:val="header"/>
    <w:basedOn w:val="1"/>
    <w:link w:val="7"/>
    <w:unhideWhenUsed/>
    <w:qFormat/>
    <w:uiPriority w:val="99"/>
    <w:pPr>
      <w:pBdr>
        <w:bottom w:val="single" w:color="auto" w:sz="6" w:space="1"/>
      </w:pBdr>
      <w:tabs>
        <w:tab w:val="center" w:pos="4153"/>
        <w:tab w:val="right" w:pos="8306"/>
      </w:tabs>
      <w:snapToGrid w:val="0"/>
      <w:jc w:val="center"/>
    </w:pPr>
    <w:rPr>
      <w:rFonts w:asciiTheme="minorHAnsi" w:hAnsiTheme="minorHAnsi" w:eastAsiaTheme="minorEastAsia" w:cstheme="minorBidi"/>
      <w:color w:val="auto"/>
      <w:kern w:val="2"/>
      <w:sz w:val="18"/>
      <w:szCs w:val="18"/>
    </w:rPr>
  </w:style>
  <w:style w:type="character" w:customStyle="1" w:styleId="7">
    <w:name w:val="页眉 Char"/>
    <w:basedOn w:val="6"/>
    <w:link w:val="4"/>
    <w:qFormat/>
    <w:uiPriority w:val="99"/>
    <w:rPr>
      <w:sz w:val="18"/>
      <w:szCs w:val="18"/>
    </w:rPr>
  </w:style>
  <w:style w:type="character" w:customStyle="1" w:styleId="8">
    <w:name w:val="页脚 Char"/>
    <w:basedOn w:val="6"/>
    <w:link w:val="3"/>
    <w:qFormat/>
    <w:uiPriority w:val="99"/>
    <w:rPr>
      <w:sz w:val="18"/>
      <w:szCs w:val="18"/>
    </w:rPr>
  </w:style>
  <w:style w:type="character" w:customStyle="1" w:styleId="9">
    <w:name w:val="批注框文本 Char"/>
    <w:basedOn w:val="6"/>
    <w:link w:val="2"/>
    <w:semiHidden/>
    <w:qFormat/>
    <w:uiPriority w:val="99"/>
    <w:rPr>
      <w:rFonts w:ascii="宋体" w:hAnsi="宋体"/>
      <w:color w:val="000000"/>
      <w:kern w:val="10"/>
      <w:sz w:val="18"/>
      <w:szCs w:val="18"/>
    </w:rPr>
  </w:style>
  <w:style w:type="paragraph" w:customStyle="1" w:styleId="10">
    <w:name w:val="4正文"/>
    <w:basedOn w:val="1"/>
    <w:next w:val="1"/>
    <w:qFormat/>
    <w:uiPriority w:val="99"/>
    <w:pPr>
      <w:ind w:firstLine="880"/>
    </w:pPr>
    <w:rPr>
      <w:rFonts w:ascii="Calibri" w:hAnsi="Calibri"/>
      <w:color w:val="auto"/>
      <w:kern w:val="2"/>
      <w:sz w:val="21"/>
      <w:szCs w:val="24"/>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ITSK.com</Company>
  <Pages>4</Pages>
  <Words>1914</Words>
  <Characters>2045</Characters>
  <Lines>14</Lines>
  <Paragraphs>4</Paragraphs>
  <TotalTime>10</TotalTime>
  <ScaleCrop>false</ScaleCrop>
  <LinksUpToDate>false</LinksUpToDate>
  <CharactersWithSpaces>2053</CharactersWithSpaces>
  <Application>WPS Office_11.1.0.12358_F1E327BC-269C-435d-A152-05C5408002CA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2021-11-09T10:30:00Z</dcterms:created>
  <dc:creator>刘 星</dc:creator>
  <cp:lastModifiedBy>凌</cp:lastModifiedBy>
  <dcterms:modified xsi:type="dcterms:W3CDTF">2022-09-26T06:57:32Z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5AB1ADD920FE4969BE593F71E4DB1CE2</vt:lpwstr>
  </property>
</Properties>
</file>