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cs="宋体"/>
          <w:b/>
          <w:bCs/>
          <w:w w:val="90"/>
          <w:sz w:val="44"/>
          <w:szCs w:val="44"/>
        </w:rPr>
        <w:t>中林集团雷州林业局有限公司位置图</w:t>
      </w:r>
    </w:p>
    <w:p>
      <w:pPr>
        <w:ind w:left="-359" w:leftChars="-171"/>
        <w:jc w:val="center"/>
      </w:pPr>
      <w:r>
        <w:drawing>
          <wp:inline distT="0" distB="0" distL="0" distR="0">
            <wp:extent cx="5379720" cy="7721600"/>
            <wp:effectExtent l="0" t="0" r="1143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938" cy="772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0A8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20096</dc:creator>
  <cp:lastModifiedBy>QUANQI</cp:lastModifiedBy>
  <dcterms:modified xsi:type="dcterms:W3CDTF">2022-07-06T09:53:45Z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E0B7C2F522E844A0BD395EA5936CCE7C</vt:lpwstr>
  </property>
</Properties>
</file>