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汕尾红海湾经济开发区消防救援大队政府专职消防员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考生诚信报名承诺书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汕尾红海湾经济开发区消防救援大队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政府专职消防员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ind w:left="4798" w:leftChars="304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ind w:left="4788" w:leftChars="2280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3A70B6-096A-4378-8DB7-C635674A4C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C4B9E5-C5E6-4C8D-AE4F-77FCA02DF9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6F15AC-F272-432A-8F3B-EB9FFB9CB1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380053E-BCBC-426E-8E4E-38F94C0E9801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Q1ZTA2OTRjNjliMzQwZDBmNjVlYmFlNTBmMjYifQ=="/>
  </w:docVars>
  <w:rsids>
    <w:rsidRoot w:val="54001F19"/>
    <w:rsid w:val="1C93646E"/>
    <w:rsid w:val="54001F19"/>
    <w:rsid w:val="707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2024-01-22T09:51:00Z</dcterms:created>
  <dc:creator>蓝林王</dc:creator>
  <cp:lastModifiedBy>蓝林王</cp:lastModifiedBy>
  <dcterms:modified xsi:type="dcterms:W3CDTF">2024-01-22T09:53:34Z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796C5AF9ACC54361A35EE0A23357E1B1_13</vt:lpwstr>
  </property>
</Properties>
</file>