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rPr>
          <w:rStyle w:val="5"/>
          <w:rFonts w:hint="default" w:eastAsia="宋体"/>
          <w:b/>
          <w:i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/>
          <w:b/>
          <w:i w:val="0"/>
          <w:spacing w:val="0"/>
          <w:w w:val="100"/>
          <w:kern w:val="2"/>
          <w:sz w:val="21"/>
          <w:szCs w:val="21"/>
          <w:lang w:val="en-US" w:eastAsia="zh-CN" w:bidi="ar-SA"/>
        </w:rPr>
        <w:t>附件4：</w:t>
      </w:r>
    </w:p>
    <w:p>
      <w:pPr>
        <w:snapToGrid/>
        <w:spacing w:before="0" w:beforeAutospacing="0" w:after="0" w:afterAutospacing="0" w:line="240" w:lineRule="auto"/>
        <w:jc w:val="both"/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eastAsia="宋体"/>
          <w:b/>
          <w:i w:val="0"/>
          <w:spacing w:val="0"/>
          <w:w w:val="100"/>
          <w:kern w:val="2"/>
          <w:sz w:val="36"/>
          <w:szCs w:val="36"/>
          <w:lang w:val="en-US" w:eastAsia="zh-CN" w:bidi="ar-SA"/>
        </w:rPr>
        <w:drawing>
          <wp:inline distT="0" distB="0" distL="0" distR="0">
            <wp:extent cx="2400300" cy="520700"/>
            <wp:effectExtent l="0" t="0" r="0" b="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广东省惠东县人民医院（三级综合医院）</w:t>
      </w:r>
    </w:p>
    <w:p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广东医科大学附属惠东医院  广东省高等医学院校教学医院</w:t>
      </w:r>
    </w:p>
    <w:p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 w:cs="Times New Roman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新宋体" w:hAnsi="新宋体" w:eastAsia="新宋体" w:cs="Times New Roman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招聘体检流程及注意事项</w:t>
      </w:r>
    </w:p>
    <w:p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 w:cs="Times New Roman"/>
          <w:b w:val="0"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新宋体" w:hAnsi="新宋体" w:eastAsia="新宋体" w:cs="Times New Roman"/>
          <w:b w:val="0"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（</w:t>
      </w:r>
      <w:r>
        <w:rPr>
          <w:rStyle w:val="5"/>
          <w:rFonts w:ascii="新宋体" w:hAnsi="新宋体" w:eastAsia="新宋体" w:cs="Times New Roman"/>
          <w:b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温馨提示：请印发参检人员详尽阅读、</w:t>
      </w:r>
      <w:r>
        <w:rPr>
          <w:rStyle w:val="5"/>
          <w:rFonts w:ascii="新宋体" w:hAnsi="新宋体" w:eastAsia="新宋体" w:cs="Times New Roman"/>
          <w:b w:val="0"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）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720" w:hanging="720"/>
        <w:jc w:val="both"/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体检地点：惠东县平山街道环城南路（新车站往白花方向800米处）惠东县人民医院新院门诊大楼2楼体检中心。</w:t>
      </w:r>
    </w:p>
    <w:p>
      <w:pPr>
        <w:snapToGrid/>
        <w:spacing w:before="0" w:beforeAutospacing="0" w:after="0" w:afterAutospacing="0" w:line="240" w:lineRule="auto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2、  体检报到：报到时间</w:t>
      </w:r>
      <w:r>
        <w:rPr>
          <w:rStyle w:val="5"/>
          <w:rFonts w:hint="eastAsia"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8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5"/>
          <w:rFonts w:hint="eastAsia"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0</w:t>
      </w:r>
      <w:bookmarkStart w:id="0" w:name="_GoBack"/>
      <w:bookmarkEnd w:id="0"/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0</w:t>
      </w:r>
      <w:r>
        <w:rPr>
          <w:rStyle w:val="5"/>
          <w:rFonts w:hint="eastAsia"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前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到体检中心处。请注意携带本人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有效身份证明、近期照片一张，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（实名制体检，非本人不予受理，</w:t>
      </w:r>
      <w:r>
        <w:rPr>
          <w:rStyle w:val="5"/>
          <w:rFonts w:ascii="新宋体" w:hAnsi="新宋体" w:eastAsia="新宋体"/>
          <w:b w:val="0"/>
          <w:i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  <w:t>仅限身份证、社保证、驾驶证）。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3、  体检前3天忌酒、限高蛋白饮食，避免使用对肝肾功能有影响的药。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6、  体检当天不宜穿戴首饰及携带贵重物品，女性穿运动内衣。近视人员请佩戴眼镜，但不能佩戴隐形眼镜。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7、  体检当天早晨应空腹8~10小时以上（不吃宵夜和早餐）。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8、  Ｂ超检查请于晨起后留尿（憋尿），否则需等候较长时间，体检报告均由体检中心收取并由专业医师作总结，个人不要自取报告。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9、  进食早餐应在抽血及Ｂ超检查后，因为进食会影响体检结果准确性。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10、 体检基本流程：体检中心入口大厅签到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出示本人有效身份证件（实名制体检，非本人不予受理）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→抽签→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领取体检项目表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　抽血化验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测血压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身高体重（BMI）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Ｂ超检查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心电图检查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→X线→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小便检查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其他项目检查（体检表：内科203房、外科204房、五官科202房）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交还绿色指引单及体检表到专职刘护士处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体检全程完毕，祝您健康愉快！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rPr>
        <w:rStyle w:val="7"/>
        <w:rFonts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rPr>
        <w:rStyle w:val="5"/>
        <w:rFonts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rPr>
        <w:rStyle w:val="7"/>
        <w:rFonts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rPr>
        <w:rStyle w:val="5"/>
        <w:rFonts w:eastAsia="宋体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7786A"/>
    <w:multiLevelType w:val="multilevel"/>
    <w:tmpl w:val="5217786A"/>
    <w:lvl w:ilvl="0" w:tentative="0">
      <w:start w:val="1"/>
      <w:numFmt w:val="decimal"/>
      <w:lvlText w:val="%1、"/>
      <w:lvlJc w:val="left"/>
      <w:pPr>
        <w:widowControl/>
        <w:ind w:left="720" w:hanging="720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4D9A"/>
    <w:rsid w:val="00245219"/>
    <w:rsid w:val="002A4990"/>
    <w:rsid w:val="00300085"/>
    <w:rsid w:val="003B6A7A"/>
    <w:rsid w:val="003C0FEA"/>
    <w:rsid w:val="004412CE"/>
    <w:rsid w:val="00451748"/>
    <w:rsid w:val="004650F2"/>
    <w:rsid w:val="005D1AAE"/>
    <w:rsid w:val="005F411F"/>
    <w:rsid w:val="00631F0A"/>
    <w:rsid w:val="006356AB"/>
    <w:rsid w:val="006C6137"/>
    <w:rsid w:val="006C755B"/>
    <w:rsid w:val="006F125B"/>
    <w:rsid w:val="00736AD7"/>
    <w:rsid w:val="00762B63"/>
    <w:rsid w:val="00791A0B"/>
    <w:rsid w:val="007B5980"/>
    <w:rsid w:val="008629B5"/>
    <w:rsid w:val="00941AFB"/>
    <w:rsid w:val="00954280"/>
    <w:rsid w:val="009D23A0"/>
    <w:rsid w:val="00AC5E86"/>
    <w:rsid w:val="00BE2DD5"/>
    <w:rsid w:val="00BE51B6"/>
    <w:rsid w:val="00BF74FB"/>
    <w:rsid w:val="00CE6DF0"/>
    <w:rsid w:val="00D91359"/>
    <w:rsid w:val="00E46745"/>
    <w:rsid w:val="00F470BC"/>
    <w:rsid w:val="00F70A96"/>
    <w:rsid w:val="00FA4CF3"/>
    <w:rsid w:val="00FC77A3"/>
    <w:rsid w:val="00FE3733"/>
    <w:rsid w:val="1AA74647"/>
    <w:rsid w:val="2E7651C0"/>
    <w:rsid w:val="2FC8711A"/>
    <w:rsid w:val="71DA1933"/>
    <w:rsid w:val="7F7A0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uiPriority w:val="0"/>
  </w:style>
  <w:style w:type="character" w:customStyle="1" w:styleId="7">
    <w:name w:val="PageNumber"/>
    <w:basedOn w:val="5"/>
    <w:link w:val="1"/>
    <w:qFormat/>
    <w:uiPriority w:val="0"/>
  </w:style>
  <w:style w:type="paragraph" w:customStyle="1" w:styleId="8">
    <w:name w:val="Acetate"/>
    <w:basedOn w:val="1"/>
    <w:semiHidden/>
    <w:qFormat/>
    <w:uiPriority w:val="0"/>
    <w:pPr>
      <w:jc w:val="both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2024-03-29T01:22:00Z</dcterms:created>
  <dc:creator>奇</dc:creator>
  <cp:lastModifiedBy>奇</cp:lastModifiedBy>
  <cp:lastPrinted>2024-03-29T02:06:00Z</cp:lastPrinted>
  <dcterms:modified xsi:type="dcterms:W3CDTF">2024-08-29T04:05:59Z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D591AF02CC4947CD9E2E19950099985B</vt:lpwstr>
  </property>
</Properties>
</file>